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42D" w:rsidRDefault="0056542D" w:rsidP="0056542D">
      <w:pPr>
        <w:pStyle w:val="NormalWeb"/>
        <w:ind w:firstLine="3"/>
        <w:jc w:val="center"/>
        <w:rPr>
          <w:rStyle w:val="Textoennegrita"/>
        </w:rPr>
      </w:pPr>
      <w:r>
        <w:rPr>
          <w:rStyle w:val="Textoennegrita"/>
        </w:rPr>
        <w:t>"TRIBUTACIÓN LOCAL INMOBILIARIA</w:t>
      </w:r>
      <w:r w:rsidR="00144020">
        <w:rPr>
          <w:rStyle w:val="Textoennegrita"/>
        </w:rPr>
        <w:t xml:space="preserve">. </w:t>
      </w:r>
      <w:r>
        <w:rPr>
          <w:rStyle w:val="Textoennegrita"/>
        </w:rPr>
        <w:t>RECLAMACIÓN DE PLUSVALÍA MUNICIPAL, IBI E ICIO PAGADOS INDEBIDAMENTE</w:t>
      </w:r>
      <w:r w:rsidR="00144020">
        <w:rPr>
          <w:rStyle w:val="Textoennegrita"/>
        </w:rPr>
        <w:t>”</w:t>
      </w:r>
    </w:p>
    <w:p w:rsidR="0056542D" w:rsidRDefault="0056542D" w:rsidP="0056542D">
      <w:pPr>
        <w:pStyle w:val="NormalWeb"/>
        <w:jc w:val="both"/>
      </w:pPr>
      <w:bookmarkStart w:id="0" w:name="_GoBack"/>
      <w:bookmarkEnd w:id="0"/>
      <w:r>
        <w:t xml:space="preserve">Los Tribunales de Justicia están dictando Sentencias muy importantes sobre impuestos que las empresas se vieron obligadas a satisfacer en los años de la crisis. Entre estos pronunciamientos destaca el conseguido por Bufete </w:t>
      </w:r>
      <w:proofErr w:type="spellStart"/>
      <w:r>
        <w:t>Cepero</w:t>
      </w:r>
      <w:proofErr w:type="spellEnd"/>
      <w:r>
        <w:t xml:space="preserve"> por el que se declaró la inconstitucionalidad de la Ley de Haciendas Locales en lo referente al Impuesto del Incremento del Valor de los Terrenos de Naturaleza Urbana (Plusvalía Municipal) a nivel nacional. </w:t>
      </w:r>
    </w:p>
    <w:p w:rsidR="0056542D" w:rsidRDefault="0056542D" w:rsidP="0056542D">
      <w:pPr>
        <w:pStyle w:val="NormalWeb"/>
        <w:jc w:val="both"/>
      </w:pPr>
      <w:r>
        <w:t>De la misma manera, en la jornada se tratarán  resoluciones y Sentencias  muy relevantes en impuestos tan importantes para nuestro sector como el Impuesto de Bienes Inmuebles Urbanos (IBI) sobre terrenos que aún presentan serias dificultades para su desarrollo urbanístico o el Impuesto de Construcciones, Instalaciones y Obras (ICIO) reclamando la devolución del impuesto pagado por obras no realizadas.</w:t>
      </w:r>
    </w:p>
    <w:p w:rsidR="0056542D" w:rsidRDefault="0056542D" w:rsidP="0056542D">
      <w:pPr>
        <w:pStyle w:val="NormalWeb"/>
        <w:jc w:val="both"/>
      </w:pPr>
      <w:r>
        <w:t>Estas actuaciones son importantes porque no sólo logran impedir que se paguen improcedentemente tales impuestos en el futuro sino, incluso, que las empresas reclamen la devolución de las importantes cantidades que abonaron, junto los intereses de demora a su favor.</w:t>
      </w:r>
    </w:p>
    <w:p w:rsidR="0056542D" w:rsidRDefault="0056542D" w:rsidP="0056542D">
      <w:pPr>
        <w:pStyle w:val="NormalWeb"/>
        <w:jc w:val="both"/>
      </w:pPr>
      <w:r>
        <w:t>La Jornada tendrá un carácter eminentemente práctico ya que en ella se informará de los elementos necesarios para que las empresas puedan adoptar una decisión sobre sus situaciones particulares.</w:t>
      </w:r>
    </w:p>
    <w:p w:rsidR="0056542D" w:rsidRPr="0056542D" w:rsidRDefault="0056542D" w:rsidP="0056542D">
      <w:pPr>
        <w:pStyle w:val="NormalWeb"/>
      </w:pPr>
      <w:r w:rsidRPr="0056542D">
        <w:t>PROGRAMA</w:t>
      </w:r>
      <w:r w:rsidR="00413C9B">
        <w:t xml:space="preserve"> 10/04/2018</w:t>
      </w:r>
    </w:p>
    <w:p w:rsidR="0056542D" w:rsidRPr="0056542D" w:rsidRDefault="00263590" w:rsidP="0056542D">
      <w:pPr>
        <w:pStyle w:val="NormalWeb"/>
      </w:pPr>
      <w:r>
        <w:t>9:15-9:30</w:t>
      </w:r>
      <w:r w:rsidR="00C32C14">
        <w:t xml:space="preserve"> </w:t>
      </w:r>
      <w:r>
        <w:t>R</w:t>
      </w:r>
      <w:r w:rsidR="0056542D" w:rsidRPr="0056542D">
        <w:t>ecepción de asistentes</w:t>
      </w:r>
    </w:p>
    <w:p w:rsidR="0056542D" w:rsidRPr="0056542D" w:rsidRDefault="0056542D" w:rsidP="0056542D">
      <w:pPr>
        <w:pStyle w:val="NormalWeb"/>
      </w:pPr>
      <w:r w:rsidRPr="0056542D">
        <w:t>9</w:t>
      </w:r>
      <w:r w:rsidR="00263590">
        <w:t>:</w:t>
      </w:r>
      <w:r w:rsidRPr="0056542D">
        <w:t>30- INAUGURACIÓN:</w:t>
      </w:r>
    </w:p>
    <w:p w:rsidR="00263590" w:rsidRDefault="0056542D" w:rsidP="0056542D">
      <w:pPr>
        <w:pStyle w:val="NormalWeb"/>
      </w:pPr>
      <w:r w:rsidRPr="0056542D">
        <w:t>Javier Sánchez Rojas </w:t>
      </w:r>
      <w:r w:rsidR="00263590">
        <w:t>-</w:t>
      </w:r>
      <w:r w:rsidRPr="0056542D">
        <w:t xml:space="preserve"> </w:t>
      </w:r>
      <w:r w:rsidR="00263590">
        <w:t>Presidente de CEC</w:t>
      </w:r>
    </w:p>
    <w:p w:rsidR="0056542D" w:rsidRPr="0056542D" w:rsidRDefault="00263590" w:rsidP="0056542D">
      <w:pPr>
        <w:pStyle w:val="NormalWeb"/>
      </w:pPr>
      <w:r>
        <w:t>Emilio Corbacho Domínguez  - Presidente de FAEC</w:t>
      </w:r>
    </w:p>
    <w:p w:rsidR="0056542D" w:rsidRDefault="0056542D" w:rsidP="0056542D">
      <w:pPr>
        <w:pStyle w:val="NormalWeb"/>
        <w:rPr>
          <w:rFonts w:ascii="Baskerville Old Face" w:hAnsi="Baskerville Old Face"/>
          <w:color w:val="1F497D"/>
        </w:rPr>
      </w:pPr>
      <w:r w:rsidRPr="0056542D">
        <w:t xml:space="preserve">Juan José Butrón </w:t>
      </w:r>
      <w:r w:rsidR="00263590">
        <w:t>- Presidente de GICA</w:t>
      </w:r>
    </w:p>
    <w:p w:rsidR="00263590" w:rsidRDefault="00263590" w:rsidP="0056542D">
      <w:pPr>
        <w:pStyle w:val="NormalWeb"/>
      </w:pPr>
      <w:r>
        <w:br/>
      </w:r>
    </w:p>
    <w:p w:rsidR="00263590" w:rsidRDefault="00263590">
      <w:pPr>
        <w:rPr>
          <w:rFonts w:ascii="Times New Roman" w:hAnsi="Times New Roman" w:cs="Times New Roman"/>
          <w:sz w:val="24"/>
          <w:szCs w:val="24"/>
          <w:lang w:eastAsia="es-ES"/>
        </w:rPr>
      </w:pPr>
      <w:r>
        <w:br w:type="page"/>
      </w:r>
    </w:p>
    <w:p w:rsidR="00263590" w:rsidRDefault="00263590" w:rsidP="0056542D">
      <w:pPr>
        <w:pStyle w:val="NormalWeb"/>
      </w:pPr>
    </w:p>
    <w:p w:rsidR="0056542D" w:rsidRDefault="0056542D" w:rsidP="0056542D">
      <w:pPr>
        <w:pStyle w:val="NormalWeb"/>
      </w:pPr>
      <w:r>
        <w:t>9:45</w:t>
      </w:r>
      <w:r w:rsidR="00263590">
        <w:t>.-</w:t>
      </w:r>
      <w:r>
        <w:t xml:space="preserve"> Impuesto sobre Construcciones, Instalaciones y Obras. Impuesto satisfecho por obras no realizadas. Posibilidad de su recuperación.- </w:t>
      </w:r>
    </w:p>
    <w:p w:rsidR="0056542D" w:rsidRDefault="0056542D" w:rsidP="00263590">
      <w:pPr>
        <w:pStyle w:val="NormalWeb"/>
        <w:numPr>
          <w:ilvl w:val="0"/>
          <w:numId w:val="4"/>
        </w:numPr>
      </w:pPr>
      <w:r>
        <w:t xml:space="preserve">Ponente: José </w:t>
      </w:r>
      <w:proofErr w:type="spellStart"/>
      <w:r>
        <w:t>Cepero</w:t>
      </w:r>
      <w:proofErr w:type="spellEnd"/>
      <w:r>
        <w:t xml:space="preserve"> (Bufete </w:t>
      </w:r>
      <w:proofErr w:type="spellStart"/>
      <w:r>
        <w:t>Cepero</w:t>
      </w:r>
      <w:proofErr w:type="spellEnd"/>
      <w:r>
        <w:t>)</w:t>
      </w:r>
    </w:p>
    <w:p w:rsidR="0056542D" w:rsidRDefault="0056542D" w:rsidP="0056542D">
      <w:pPr>
        <w:pStyle w:val="NormalWeb"/>
      </w:pPr>
      <w:r>
        <w:t xml:space="preserve">10:15.- Terrenos urbanos en </w:t>
      </w:r>
      <w:proofErr w:type="spellStart"/>
      <w:r>
        <w:t>PGOUs</w:t>
      </w:r>
      <w:proofErr w:type="spellEnd"/>
      <w:r>
        <w:t xml:space="preserve"> municipales sin desarrollo </w:t>
      </w:r>
      <w:proofErr w:type="spellStart"/>
      <w:r>
        <w:t>ubanístico</w:t>
      </w:r>
      <w:proofErr w:type="spellEnd"/>
      <w:r>
        <w:t>; calificación catastral y consecuencias en el Impuesto sobre Bienes Inmuebles </w:t>
      </w:r>
    </w:p>
    <w:p w:rsidR="0056542D" w:rsidRDefault="0056542D" w:rsidP="00263590">
      <w:pPr>
        <w:pStyle w:val="NormalWeb"/>
        <w:numPr>
          <w:ilvl w:val="0"/>
          <w:numId w:val="4"/>
        </w:numPr>
      </w:pPr>
      <w:r>
        <w:t xml:space="preserve">Ponente: Carmen Cambas (Bufete </w:t>
      </w:r>
      <w:proofErr w:type="spellStart"/>
      <w:r>
        <w:t>Cepero</w:t>
      </w:r>
      <w:proofErr w:type="spellEnd"/>
      <w:r>
        <w:t>)</w:t>
      </w:r>
    </w:p>
    <w:p w:rsidR="0056542D" w:rsidRDefault="0056542D" w:rsidP="0056542D">
      <w:pPr>
        <w:pStyle w:val="NormalWeb"/>
      </w:pPr>
      <w:r>
        <w:t>10:45.- Conveniencia de una adecuada valoración y/o tasación como apoyo a la reclamación.</w:t>
      </w:r>
    </w:p>
    <w:p w:rsidR="0056542D" w:rsidRDefault="0056542D" w:rsidP="00263590">
      <w:pPr>
        <w:pStyle w:val="NormalWeb"/>
        <w:numPr>
          <w:ilvl w:val="0"/>
          <w:numId w:val="4"/>
        </w:numPr>
      </w:pPr>
      <w:r>
        <w:t>Ponente; Rafael López (</w:t>
      </w:r>
      <w:proofErr w:type="spellStart"/>
      <w:r>
        <w:t>Gesvalt</w:t>
      </w:r>
      <w:proofErr w:type="spellEnd"/>
      <w:r>
        <w:t>)</w:t>
      </w:r>
    </w:p>
    <w:p w:rsidR="0056542D" w:rsidRDefault="0056542D" w:rsidP="0056542D">
      <w:pPr>
        <w:pStyle w:val="NormalWeb"/>
      </w:pPr>
      <w:r>
        <w:t>11.15- Pausa Café</w:t>
      </w:r>
    </w:p>
    <w:p w:rsidR="0056542D" w:rsidRDefault="0056542D" w:rsidP="0056542D">
      <w:pPr>
        <w:pStyle w:val="NormalWeb"/>
      </w:pPr>
      <w:r>
        <w:t>11:30.- Impuesto del Incremento del Valor de los Terrenos de Naturaleza Urbana (Plusvalía Municipal).- Pasado, presente y futuro del impuesto tras su declaración de inconstitucionalidad. Posibilidades de recuperar el impuesto pagado.</w:t>
      </w:r>
    </w:p>
    <w:p w:rsidR="0056542D" w:rsidRDefault="0056542D" w:rsidP="00263590">
      <w:pPr>
        <w:pStyle w:val="NormalWeb"/>
        <w:numPr>
          <w:ilvl w:val="0"/>
          <w:numId w:val="4"/>
        </w:numPr>
      </w:pPr>
      <w:r>
        <w:t xml:space="preserve">Ponente; José </w:t>
      </w:r>
      <w:proofErr w:type="spellStart"/>
      <w:r>
        <w:t>Cepero</w:t>
      </w:r>
      <w:proofErr w:type="spellEnd"/>
      <w:r>
        <w:t xml:space="preserve"> (Bufete </w:t>
      </w:r>
      <w:proofErr w:type="spellStart"/>
      <w:r>
        <w:t>Cepero</w:t>
      </w:r>
      <w:proofErr w:type="spellEnd"/>
      <w:r>
        <w:t>)</w:t>
      </w:r>
    </w:p>
    <w:p w:rsidR="0056542D" w:rsidRDefault="0056542D" w:rsidP="0056542D">
      <w:pPr>
        <w:pStyle w:val="NormalWeb"/>
      </w:pPr>
      <w:r>
        <w:t>12;00.- Necesidad de una prueba pericial sólida y solvente.</w:t>
      </w:r>
    </w:p>
    <w:p w:rsidR="0056542D" w:rsidRDefault="0056542D" w:rsidP="00263590">
      <w:pPr>
        <w:pStyle w:val="NormalWeb"/>
        <w:numPr>
          <w:ilvl w:val="0"/>
          <w:numId w:val="2"/>
        </w:numPr>
      </w:pPr>
      <w:r>
        <w:t>Ponente; Rafael López (</w:t>
      </w:r>
      <w:proofErr w:type="spellStart"/>
      <w:r>
        <w:t>Gesvalt</w:t>
      </w:r>
      <w:proofErr w:type="spellEnd"/>
      <w:r>
        <w:t>)</w:t>
      </w:r>
    </w:p>
    <w:p w:rsidR="00EF682B" w:rsidRDefault="00EF682B"/>
    <w:sectPr w:rsidR="00EF682B" w:rsidSect="00263590">
      <w:headerReference w:type="default" r:id="rId7"/>
      <w:footerReference w:type="default" r:id="rId8"/>
      <w:pgSz w:w="11906" w:h="16838"/>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393" w:rsidRDefault="007D4393" w:rsidP="0056542D">
      <w:pPr>
        <w:spacing w:after="0" w:line="240" w:lineRule="auto"/>
      </w:pPr>
      <w:r>
        <w:separator/>
      </w:r>
    </w:p>
  </w:endnote>
  <w:endnote w:type="continuationSeparator" w:id="0">
    <w:p w:rsidR="007D4393" w:rsidRDefault="007D4393" w:rsidP="00565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200" w:rsidRDefault="006C7200">
    <w:pPr>
      <w:pStyle w:val="Piedepgina"/>
    </w:pPr>
    <w:r>
      <w:t xml:space="preserve">Colabora:     </w:t>
    </w:r>
  </w:p>
  <w:p w:rsidR="006C7200" w:rsidRDefault="006C7200">
    <w:pPr>
      <w:pStyle w:val="Piedepgina"/>
    </w:pPr>
    <w:r>
      <w:t xml:space="preserve"> </w:t>
    </w:r>
    <w:r>
      <w:rPr>
        <w:rFonts w:ascii="Arial" w:hAnsi="Arial" w:cs="Arial"/>
        <w:noProof/>
        <w:color w:val="337AB7"/>
        <w:lang w:eastAsia="es-ES"/>
      </w:rPr>
      <w:drawing>
        <wp:inline distT="0" distB="0" distL="0" distR="0">
          <wp:extent cx="1771650" cy="497819"/>
          <wp:effectExtent l="0" t="0" r="0" b="0"/>
          <wp:docPr id="147" name="Imagen 147" descr="Gesvalt | Sociedad de Tasación, Consultoría y Valoració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obile" descr="Gesvalt | Sociedad de Tasación, Consultoría y Valoració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4041" cy="504111"/>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393" w:rsidRDefault="007D4393" w:rsidP="0056542D">
      <w:pPr>
        <w:spacing w:after="0" w:line="240" w:lineRule="auto"/>
      </w:pPr>
      <w:r>
        <w:separator/>
      </w:r>
    </w:p>
  </w:footnote>
  <w:footnote w:type="continuationSeparator" w:id="0">
    <w:p w:rsidR="007D4393" w:rsidRDefault="007D4393" w:rsidP="005654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42D" w:rsidRDefault="0056542D" w:rsidP="00263590">
    <w:pPr>
      <w:pStyle w:val="Encabezado"/>
      <w:tabs>
        <w:tab w:val="left" w:pos="2790"/>
      </w:tabs>
      <w:ind w:left="-567"/>
    </w:pPr>
    <w:r>
      <w:rPr>
        <w:noProof/>
        <w:lang w:eastAsia="es-ES"/>
      </w:rPr>
      <w:drawing>
        <wp:inline distT="0" distB="0" distL="0" distR="0" wp14:anchorId="17D3BA73" wp14:editId="33DF76B0">
          <wp:extent cx="914400" cy="962025"/>
          <wp:effectExtent l="0" t="0" r="0" b="9525"/>
          <wp:docPr id="141" name="Imagen 141" descr="logo 40 aniversario cec email"/>
          <wp:cNvGraphicFramePr/>
          <a:graphic xmlns:a="http://schemas.openxmlformats.org/drawingml/2006/main">
            <a:graphicData uri="http://schemas.openxmlformats.org/drawingml/2006/picture">
              <pic:pic xmlns:pic="http://schemas.openxmlformats.org/drawingml/2006/picture">
                <pic:nvPicPr>
                  <pic:cNvPr id="1" name="Imagen 1" descr="logo 40 aniversario cec email"/>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62025"/>
                  </a:xfrm>
                  <a:prstGeom prst="rect">
                    <a:avLst/>
                  </a:prstGeom>
                  <a:noFill/>
                  <a:ln>
                    <a:noFill/>
                  </a:ln>
                </pic:spPr>
              </pic:pic>
            </a:graphicData>
          </a:graphic>
        </wp:inline>
      </w:drawing>
    </w:r>
    <w:r w:rsidR="00263590">
      <w:t xml:space="preserve">       </w:t>
    </w:r>
    <w:r w:rsidR="00263590">
      <w:rPr>
        <w:noProof/>
        <w:lang w:eastAsia="es-ES"/>
      </w:rPr>
      <w:drawing>
        <wp:inline distT="0" distB="0" distL="0" distR="0" wp14:anchorId="63BC7388" wp14:editId="4FA91580">
          <wp:extent cx="1819275" cy="1056840"/>
          <wp:effectExtent l="0" t="0" r="0" b="0"/>
          <wp:docPr id="142" name="Imagen 142" descr="fae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ec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5392" cy="1060394"/>
                  </a:xfrm>
                  <a:prstGeom prst="rect">
                    <a:avLst/>
                  </a:prstGeom>
                  <a:noFill/>
                  <a:ln>
                    <a:noFill/>
                  </a:ln>
                </pic:spPr>
              </pic:pic>
            </a:graphicData>
          </a:graphic>
        </wp:inline>
      </w:drawing>
    </w:r>
    <w:r w:rsidR="00263590">
      <w:tab/>
    </w:r>
    <w:r>
      <w:t xml:space="preserve"> </w:t>
    </w:r>
    <w:r w:rsidR="00263590">
      <w:t xml:space="preserve"> </w:t>
    </w:r>
    <w:r w:rsidR="00263590">
      <w:rPr>
        <w:noProof/>
        <w:color w:val="0084BF"/>
        <w:sz w:val="21"/>
        <w:szCs w:val="21"/>
        <w:lang w:eastAsia="es-ES"/>
      </w:rPr>
      <w:drawing>
        <wp:inline distT="0" distB="0" distL="0" distR="0" wp14:anchorId="4C4BABF0" wp14:editId="0E1001B7">
          <wp:extent cx="1423988" cy="619125"/>
          <wp:effectExtent l="0" t="0" r="5080" b="0"/>
          <wp:docPr id="143" name="Imagen 143" descr="logogica">
            <a:hlinkClick xmlns:a="http://schemas.openxmlformats.org/drawingml/2006/main" r:id="rId3" tooltip="&quot;GICA / MLS Cádiz&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gica">
                    <a:hlinkClick r:id="rId3" tooltip="&quot;GICA / MLS Cádiz&quo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5282" cy="628383"/>
                  </a:xfrm>
                  <a:prstGeom prst="rect">
                    <a:avLst/>
                  </a:prstGeom>
                  <a:noFill/>
                  <a:ln>
                    <a:noFill/>
                  </a:ln>
                </pic:spPr>
              </pic:pic>
            </a:graphicData>
          </a:graphic>
        </wp:inline>
      </w:drawing>
    </w:r>
    <w:r w:rsidR="00263590">
      <w:t xml:space="preserve">  </w:t>
    </w:r>
    <w:r w:rsidR="00263590">
      <w:rPr>
        <w:noProof/>
        <w:lang w:eastAsia="es-ES"/>
      </w:rPr>
      <w:drawing>
        <wp:inline distT="0" distB="0" distL="0" distR="0" wp14:anchorId="35A3FEBC" wp14:editId="6F70549A">
          <wp:extent cx="1209675" cy="295275"/>
          <wp:effectExtent l="0" t="0" r="9525" b="9525"/>
          <wp:docPr id="144" name="Imagen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209675" cy="295275"/>
                  </a:xfrm>
                  <a:prstGeom prst="rect">
                    <a:avLst/>
                  </a:prstGeom>
                </pic:spPr>
              </pic:pic>
            </a:graphicData>
          </a:graphic>
        </wp:inline>
      </w:drawing>
    </w:r>
    <w:r w:rsidR="00263590">
      <w:tab/>
    </w:r>
    <w:r>
      <w:tab/>
    </w:r>
    <w:r w:rsidR="00263590">
      <w:tab/>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C7B06"/>
    <w:multiLevelType w:val="hybridMultilevel"/>
    <w:tmpl w:val="15C6C30E"/>
    <w:lvl w:ilvl="0" w:tplc="727A2DA2">
      <w:start w:val="9"/>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89B4D6E"/>
    <w:multiLevelType w:val="hybridMultilevel"/>
    <w:tmpl w:val="588A28C2"/>
    <w:lvl w:ilvl="0" w:tplc="6A8868C2">
      <w:start w:val="9"/>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87B4BCA"/>
    <w:multiLevelType w:val="hybridMultilevel"/>
    <w:tmpl w:val="82F46F66"/>
    <w:lvl w:ilvl="0" w:tplc="727A2DA2">
      <w:start w:val="9"/>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A501D81"/>
    <w:multiLevelType w:val="hybridMultilevel"/>
    <w:tmpl w:val="C9F0A280"/>
    <w:lvl w:ilvl="0" w:tplc="0A942E84">
      <w:numFmt w:val="bullet"/>
      <w:lvlText w:val="-"/>
      <w:lvlJc w:val="left"/>
      <w:pPr>
        <w:ind w:left="1095" w:hanging="735"/>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42D"/>
    <w:rsid w:val="00144020"/>
    <w:rsid w:val="00192445"/>
    <w:rsid w:val="00263590"/>
    <w:rsid w:val="00413C9B"/>
    <w:rsid w:val="0056542D"/>
    <w:rsid w:val="006C7200"/>
    <w:rsid w:val="007D4393"/>
    <w:rsid w:val="00B758DF"/>
    <w:rsid w:val="00C32C14"/>
    <w:rsid w:val="00EF68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B9E166-1A94-4BE8-9687-446AFCA7A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6542D"/>
    <w:pPr>
      <w:spacing w:before="100" w:beforeAutospacing="1" w:after="100" w:afterAutospacing="1" w:line="240" w:lineRule="auto"/>
    </w:pPr>
    <w:rPr>
      <w:rFonts w:ascii="Times New Roman" w:hAnsi="Times New Roman" w:cs="Times New Roman"/>
      <w:sz w:val="24"/>
      <w:szCs w:val="24"/>
      <w:lang w:eastAsia="es-ES"/>
    </w:rPr>
  </w:style>
  <w:style w:type="character" w:styleId="Textoennegrita">
    <w:name w:val="Strong"/>
    <w:basedOn w:val="Fuentedeprrafopredeter"/>
    <w:uiPriority w:val="22"/>
    <w:qFormat/>
    <w:rsid w:val="0056542D"/>
    <w:rPr>
      <w:b/>
      <w:bCs/>
    </w:rPr>
  </w:style>
  <w:style w:type="paragraph" w:styleId="Encabezado">
    <w:name w:val="header"/>
    <w:basedOn w:val="Normal"/>
    <w:link w:val="EncabezadoCar"/>
    <w:uiPriority w:val="99"/>
    <w:unhideWhenUsed/>
    <w:rsid w:val="0056542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6542D"/>
  </w:style>
  <w:style w:type="paragraph" w:styleId="Piedepgina">
    <w:name w:val="footer"/>
    <w:basedOn w:val="Normal"/>
    <w:link w:val="PiedepginaCar"/>
    <w:uiPriority w:val="99"/>
    <w:unhideWhenUsed/>
    <w:rsid w:val="005654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65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29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s://gesvalt.es/"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gicainmobiliarias.es/" TargetMode="External"/><Relationship Id="rId2" Type="http://schemas.openxmlformats.org/officeDocument/2006/relationships/image" Target="media/image2.png"/><Relationship Id="rId1" Type="http://schemas.openxmlformats.org/officeDocument/2006/relationships/image" Target="media/image1.jpg"/><Relationship Id="rId5" Type="http://schemas.openxmlformats.org/officeDocument/2006/relationships/image" Target="media/image4.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382</Words>
  <Characters>2102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Serrera Garcia</dc:creator>
  <cp:keywords/>
  <dc:description/>
  <cp:lastModifiedBy>Patricia Serrera Garcia</cp:lastModifiedBy>
  <cp:revision>5</cp:revision>
  <dcterms:created xsi:type="dcterms:W3CDTF">2018-03-22T07:18:00Z</dcterms:created>
  <dcterms:modified xsi:type="dcterms:W3CDTF">2018-03-22T08:29:00Z</dcterms:modified>
</cp:coreProperties>
</file>